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334C">
      <w:pPr>
        <w:pStyle w:val="7"/>
        <w:shd w:val="clear" w:color="auto" w:fill="FFFFFF"/>
        <w:adjustRightInd w:val="0"/>
        <w:snapToGrid w:val="0"/>
        <w:spacing w:before="0" w:beforeAutospacing="0" w:after="0" w:afterAutospacing="0" w:line="360" w:lineRule="auto"/>
        <w:ind w:firstLine="640" w:firstLineChars="200"/>
        <w:textAlignment w:val="baseline"/>
        <w:rPr>
          <w:rFonts w:hint="eastAsia" w:ascii="黑体" w:hAnsi="黑体" w:eastAsia="黑体" w:cs="黑体"/>
          <w:color w:val="383838"/>
          <w:sz w:val="32"/>
          <w:szCs w:val="32"/>
          <w:lang w:val="en-US" w:eastAsia="zh-CN"/>
        </w:rPr>
      </w:pPr>
      <w:r>
        <w:rPr>
          <w:rFonts w:hint="eastAsia" w:ascii="黑体" w:hAnsi="黑体" w:eastAsia="黑体" w:cs="黑体"/>
          <w:color w:val="383838"/>
          <w:sz w:val="32"/>
          <w:szCs w:val="32"/>
          <w:lang w:val="en-US" w:eastAsia="zh-CN"/>
        </w:rPr>
        <w:t>附件</w:t>
      </w:r>
    </w:p>
    <w:tbl>
      <w:tblPr>
        <w:tblStyle w:val="8"/>
        <w:tblW w:w="14809" w:type="dxa"/>
        <w:tblInd w:w="0" w:type="dxa"/>
        <w:shd w:val="clear" w:color="auto" w:fill="auto"/>
        <w:tblLayout w:type="fixed"/>
        <w:tblCellMar>
          <w:top w:w="0" w:type="dxa"/>
          <w:left w:w="0" w:type="dxa"/>
          <w:bottom w:w="0" w:type="dxa"/>
          <w:right w:w="0" w:type="dxa"/>
        </w:tblCellMar>
      </w:tblPr>
      <w:tblGrid>
        <w:gridCol w:w="719"/>
        <w:gridCol w:w="2279"/>
        <w:gridCol w:w="2879"/>
        <w:gridCol w:w="8932"/>
      </w:tblGrid>
      <w:tr w14:paraId="5A4E7C16">
        <w:tblPrEx>
          <w:shd w:val="clear" w:color="auto" w:fill="auto"/>
          <w:tblCellMar>
            <w:top w:w="0" w:type="dxa"/>
            <w:left w:w="0" w:type="dxa"/>
            <w:bottom w:w="0" w:type="dxa"/>
            <w:right w:w="0" w:type="dxa"/>
          </w:tblCellMar>
        </w:tblPrEx>
        <w:trPr>
          <w:trHeight w:val="36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87C7">
            <w:pPr>
              <w:keepNext w:val="0"/>
              <w:keepLines w:val="0"/>
              <w:widowControl/>
              <w:suppressLineNumbers w:val="0"/>
              <w:jc w:val="center"/>
              <w:textAlignment w:val="center"/>
              <w:rPr>
                <w:rFonts w:hint="eastAsia" w:ascii="仿宋" w:hAnsi="仿宋" w:eastAsia="仿宋" w:cs="仿宋"/>
                <w:bCs/>
                <w:i w:val="0"/>
                <w:color w:val="000000"/>
                <w:kern w:val="0"/>
                <w:sz w:val="24"/>
                <w:szCs w:val="24"/>
                <w:u w:val="none"/>
                <w:lang w:val="en-US" w:eastAsia="zh-CN" w:bidi="ar"/>
              </w:rPr>
            </w:pPr>
            <w:bookmarkStart w:id="0" w:name="OLE_LINK3" w:colFirst="0" w:colLast="2"/>
            <w:r>
              <w:rPr>
                <w:rFonts w:hint="eastAsia" w:ascii="仿宋" w:hAnsi="仿宋" w:eastAsia="仿宋" w:cs="仿宋"/>
                <w:b/>
                <w:bCs/>
                <w:i w:val="0"/>
                <w:color w:val="000000"/>
                <w:kern w:val="0"/>
                <w:sz w:val="24"/>
                <w:szCs w:val="24"/>
                <w:u w:val="none"/>
                <w:lang w:val="en-US" w:eastAsia="zh-CN" w:bidi="ar"/>
              </w:rPr>
              <w:t>序号</w:t>
            </w:r>
          </w:p>
        </w:tc>
        <w:tc>
          <w:tcPr>
            <w:tcW w:w="5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ED7E">
            <w:pPr>
              <w:keepNext w:val="0"/>
              <w:keepLines w:val="0"/>
              <w:widowControl/>
              <w:suppressLineNumbers w:val="0"/>
              <w:jc w:val="center"/>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项目</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D150">
            <w:pPr>
              <w:keepNext w:val="0"/>
              <w:keepLines w:val="0"/>
              <w:widowControl/>
              <w:suppressLineNumbers w:val="0"/>
              <w:jc w:val="center"/>
              <w:textAlignment w:val="center"/>
              <w:rPr>
                <w:rFonts w:hint="eastAsia" w:ascii="仿宋" w:hAnsi="仿宋" w:eastAsia="仿宋" w:cs="仿宋"/>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具体内容</w:t>
            </w:r>
          </w:p>
        </w:tc>
      </w:tr>
      <w:bookmarkEnd w:id="0"/>
      <w:tr w14:paraId="0D3BF66F">
        <w:tblPrEx>
          <w:tblCellMar>
            <w:top w:w="0" w:type="dxa"/>
            <w:left w:w="0" w:type="dxa"/>
            <w:bottom w:w="0" w:type="dxa"/>
            <w:right w:w="0" w:type="dxa"/>
          </w:tblCellMar>
        </w:tblPrEx>
        <w:trPr>
          <w:trHeight w:val="6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1B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1</w:t>
            </w:r>
          </w:p>
        </w:tc>
        <w:tc>
          <w:tcPr>
            <w:tcW w:w="5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EB9F">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智能审核业务、审核规则的本地化定制及相关的统计分析工作（含决策支持服务）</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DCDAF">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对医保结算单据进行全面、全流程审核，包含由专业数据团队对医保政策变动等所需的规则调整及本地化处理</w:t>
            </w:r>
            <w:r>
              <w:rPr>
                <w:rFonts w:hint="eastAsia" w:ascii="仿宋" w:hAnsi="仿宋" w:eastAsia="仿宋" w:cs="仿宋"/>
                <w:bCs/>
                <w:i w:val="0"/>
                <w:color w:val="auto"/>
                <w:kern w:val="0"/>
                <w:sz w:val="24"/>
                <w:szCs w:val="24"/>
                <w:u w:val="none"/>
                <w:lang w:val="en-US" w:eastAsia="zh-CN" w:bidi="ar"/>
              </w:rPr>
              <w:t>；异地就医费用审核及异地就医情况分析服务</w:t>
            </w:r>
            <w:r>
              <w:rPr>
                <w:rFonts w:hint="eastAsia" w:ascii="仿宋" w:hAnsi="仿宋" w:eastAsia="仿宋" w:cs="仿宋"/>
                <w:bCs/>
                <w:i w:val="0"/>
                <w:color w:val="000000"/>
                <w:kern w:val="0"/>
                <w:sz w:val="24"/>
                <w:szCs w:val="24"/>
                <w:u w:val="none"/>
                <w:lang w:val="en-US" w:eastAsia="zh-CN" w:bidi="ar"/>
              </w:rPr>
              <w:t>；为客户的基金监管工作及政策调整提供数据统计及分析。</w:t>
            </w:r>
          </w:p>
        </w:tc>
      </w:tr>
      <w:tr w14:paraId="4B1331C0">
        <w:tblPrEx>
          <w:tblCellMar>
            <w:top w:w="0" w:type="dxa"/>
            <w:left w:w="0" w:type="dxa"/>
            <w:bottom w:w="0" w:type="dxa"/>
            <w:right w:w="0" w:type="dxa"/>
          </w:tblCellMar>
        </w:tblPrEx>
        <w:trPr>
          <w:trHeight w:val="7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2C9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2</w:t>
            </w:r>
          </w:p>
        </w:tc>
        <w:tc>
          <w:tcPr>
            <w:tcW w:w="5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74E86">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现场检查支持                                        （含稽核数据、信息技术支持及人员支持）</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3F8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利用信息化手段对大数据进行分析和复核，生成疑点信息，各类的现场检查、突击检查、专项检查等提供数据支撑和依据，并抽调医疗等相关专业人员现场检查，出具检查结果等。</w:t>
            </w:r>
          </w:p>
        </w:tc>
      </w:tr>
      <w:tr w14:paraId="12E6E0F8">
        <w:tblPrEx>
          <w:tblCellMar>
            <w:top w:w="0" w:type="dxa"/>
            <w:left w:w="0" w:type="dxa"/>
            <w:bottom w:w="0" w:type="dxa"/>
            <w:right w:w="0" w:type="dxa"/>
          </w:tblCellMar>
        </w:tblPrEx>
        <w:trPr>
          <w:trHeight w:val="520"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C45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3</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68B5E">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基本医疗保险按病种分值付费（DIP）的测算及动态调整</w:t>
            </w: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F0C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DIP病种分值库建库及调整</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8978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动态调整和完善按病种分值付费方式下各病种付费标准和病种分值库。</w:t>
            </w:r>
          </w:p>
        </w:tc>
      </w:tr>
      <w:tr w14:paraId="7A76A6FB">
        <w:tblPrEx>
          <w:tblCellMar>
            <w:top w:w="0" w:type="dxa"/>
            <w:left w:w="0" w:type="dxa"/>
            <w:bottom w:w="0" w:type="dxa"/>
            <w:right w:w="0" w:type="dxa"/>
          </w:tblCellMar>
        </w:tblPrEx>
        <w:trPr>
          <w:trHeight w:val="106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AFF2">
            <w:pPr>
              <w:jc w:val="center"/>
              <w:rPr>
                <w:rFonts w:hint="eastAsia" w:ascii="仿宋" w:hAnsi="仿宋" w:eastAsia="仿宋" w:cs="仿宋"/>
                <w:i w:val="0"/>
                <w:color w:val="000000"/>
                <w:sz w:val="24"/>
                <w:szCs w:val="24"/>
                <w:u w:val="none"/>
              </w:rPr>
            </w:pP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AA2E">
            <w:pPr>
              <w:jc w:val="left"/>
              <w:rPr>
                <w:rFonts w:hint="eastAsia" w:ascii="仿宋" w:hAnsi="仿宋" w:eastAsia="仿宋" w:cs="仿宋"/>
                <w:b/>
                <w:i w:val="0"/>
                <w:color w:val="000000"/>
                <w:sz w:val="24"/>
                <w:szCs w:val="24"/>
                <w:u w:val="none"/>
              </w:rPr>
            </w:pP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BBC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DIP运行情况分析</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B360">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为了提升我市医保结算数据质量，协助开展医保结算数据筛查和质控，对上传的医保结算数据进行全面分析，对存在问题的医保结算数据提出参考意见及建议，并协助开展医保结算数据的反馈、解释等工作。根据年度医保结算数据，协助开展DIP运行监测、分值制定等相关工作。</w:t>
            </w:r>
          </w:p>
        </w:tc>
      </w:tr>
      <w:tr w14:paraId="51332825">
        <w:tblPrEx>
          <w:tblCellMar>
            <w:top w:w="0" w:type="dxa"/>
            <w:left w:w="0" w:type="dxa"/>
            <w:bottom w:w="0" w:type="dxa"/>
            <w:right w:w="0" w:type="dxa"/>
          </w:tblCellMar>
        </w:tblPrEx>
        <w:trPr>
          <w:trHeight w:val="6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538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4</w:t>
            </w:r>
          </w:p>
        </w:tc>
        <w:tc>
          <w:tcPr>
            <w:tcW w:w="5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6DAA">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按病种分值付费 （DIP）的人工智能监管服务</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71C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利用人工智能及大数据学习模型对结算病例进行可疑筛选及分析服务，包括提供可疑病例存在问题线索及推荐分组等。</w:t>
            </w:r>
          </w:p>
        </w:tc>
      </w:tr>
      <w:tr w14:paraId="376740BD">
        <w:tblPrEx>
          <w:tblCellMar>
            <w:top w:w="0" w:type="dxa"/>
            <w:left w:w="0" w:type="dxa"/>
            <w:bottom w:w="0" w:type="dxa"/>
            <w:right w:w="0" w:type="dxa"/>
          </w:tblCellMar>
        </w:tblPrEx>
        <w:trPr>
          <w:trHeight w:val="940"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9DE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5</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3E41">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提供对药品医用耗材采购数据的分析和医疗服务价格项目监测管理的技术支撑服务</w:t>
            </w: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F6B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药品医用耗材采购数据分析服务</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EA2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通过信息化手段，对采</w:t>
            </w:r>
            <w:bookmarkStart w:id="1" w:name="OLE_LINK2"/>
            <w:r>
              <w:rPr>
                <w:rFonts w:hint="eastAsia" w:ascii="仿宋" w:hAnsi="仿宋" w:eastAsia="仿宋" w:cs="仿宋"/>
                <w:bCs/>
                <w:i w:val="0"/>
                <w:color w:val="000000"/>
                <w:kern w:val="0"/>
                <w:sz w:val="24"/>
                <w:szCs w:val="24"/>
                <w:u w:val="none"/>
                <w:lang w:val="en-US" w:eastAsia="zh-CN" w:bidi="ar"/>
              </w:rPr>
              <w:t>购数据异常情况进行统计、分析、提醒和建</w:t>
            </w:r>
            <w:bookmarkEnd w:id="1"/>
            <w:r>
              <w:rPr>
                <w:rFonts w:hint="eastAsia" w:ascii="仿宋" w:hAnsi="仿宋" w:eastAsia="仿宋" w:cs="仿宋"/>
                <w:bCs/>
                <w:i w:val="0"/>
                <w:color w:val="000000"/>
                <w:kern w:val="0"/>
                <w:sz w:val="24"/>
                <w:szCs w:val="24"/>
                <w:u w:val="none"/>
                <w:lang w:val="en-US" w:eastAsia="zh-CN" w:bidi="ar"/>
              </w:rPr>
              <w:t>议等，出具分析报告。统计分析线下采购情况；统计分析集中带量采购各批次完成情况；优化处理历史相关数据。</w:t>
            </w:r>
          </w:p>
        </w:tc>
      </w:tr>
      <w:tr w14:paraId="335DA011">
        <w:tblPrEx>
          <w:tblCellMar>
            <w:top w:w="0" w:type="dxa"/>
            <w:left w:w="0" w:type="dxa"/>
            <w:bottom w:w="0" w:type="dxa"/>
            <w:right w:w="0" w:type="dxa"/>
          </w:tblCellMar>
        </w:tblPrEx>
        <w:trPr>
          <w:trHeight w:val="70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D3AB">
            <w:pPr>
              <w:jc w:val="center"/>
              <w:rPr>
                <w:rFonts w:hint="eastAsia" w:ascii="仿宋" w:hAnsi="仿宋" w:eastAsia="仿宋" w:cs="仿宋"/>
                <w:i w:val="0"/>
                <w:color w:val="000000"/>
                <w:sz w:val="24"/>
                <w:szCs w:val="24"/>
                <w:u w:val="none"/>
              </w:rPr>
            </w:pP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6219">
            <w:pPr>
              <w:jc w:val="left"/>
              <w:rPr>
                <w:rFonts w:hint="eastAsia" w:ascii="仿宋" w:hAnsi="仿宋" w:eastAsia="仿宋" w:cs="仿宋"/>
                <w:b/>
                <w:i w:val="0"/>
                <w:color w:val="000000"/>
                <w:sz w:val="24"/>
                <w:szCs w:val="24"/>
                <w:u w:val="none"/>
              </w:rPr>
            </w:pPr>
          </w:p>
        </w:tc>
        <w:tc>
          <w:tcPr>
            <w:tcW w:w="2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F5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医疗服务价格项目监测管理的技术支撑服务</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4D48">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1.市公立医疗机构医疗服务价格动态调整评估</w:t>
            </w:r>
            <w:r>
              <w:rPr>
                <w:rFonts w:hint="eastAsia" w:ascii="仿宋" w:hAnsi="仿宋" w:eastAsia="仿宋" w:cs="仿宋"/>
                <w:bCs/>
                <w:i w:val="0"/>
                <w:color w:val="000000"/>
                <w:kern w:val="0"/>
                <w:sz w:val="24"/>
                <w:szCs w:val="24"/>
                <w:u w:val="none"/>
                <w:lang w:val="en-US" w:eastAsia="zh-CN" w:bidi="ar"/>
              </w:rPr>
              <w:br w:type="textWrapping"/>
            </w:r>
            <w:r>
              <w:rPr>
                <w:rFonts w:hint="eastAsia" w:ascii="仿宋" w:hAnsi="仿宋" w:eastAsia="仿宋" w:cs="仿宋"/>
                <w:bCs/>
                <w:i w:val="0"/>
                <w:color w:val="000000"/>
                <w:kern w:val="0"/>
                <w:sz w:val="24"/>
                <w:szCs w:val="24"/>
                <w:u w:val="none"/>
                <w:lang w:val="en-US" w:eastAsia="zh-CN" w:bidi="ar"/>
              </w:rPr>
              <w:t>2.新增和修订医疗服务价格项目定调价</w:t>
            </w:r>
          </w:p>
        </w:tc>
      </w:tr>
      <w:tr w14:paraId="65A8A8F0">
        <w:tblPrEx>
          <w:tblCellMar>
            <w:top w:w="0" w:type="dxa"/>
            <w:left w:w="0" w:type="dxa"/>
            <w:bottom w:w="0" w:type="dxa"/>
            <w:right w:w="0" w:type="dxa"/>
          </w:tblCellMar>
        </w:tblPrEx>
        <w:trPr>
          <w:trHeight w:val="9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4BA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6</w:t>
            </w:r>
          </w:p>
        </w:tc>
        <w:tc>
          <w:tcPr>
            <w:tcW w:w="5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3736">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特殊病例评审服务</w:t>
            </w:r>
          </w:p>
        </w:tc>
        <w:tc>
          <w:tcPr>
            <w:tcW w:w="8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AAD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Cs/>
                <w:i w:val="0"/>
                <w:color w:val="000000"/>
                <w:kern w:val="0"/>
                <w:sz w:val="24"/>
                <w:szCs w:val="24"/>
                <w:u w:val="none"/>
                <w:lang w:val="en-US" w:eastAsia="zh-CN" w:bidi="ar"/>
              </w:rPr>
              <w:t>提供月度特殊病例评审服务人工抽查、重点特殊病例核查和争议病例处理等服务。对医疗机构争议比较大（如高倍率病例）或者大量出现的同类问题，及时根据情况进行问题汇总，并协助医保定期（每半年）组织召开专家评审会，并提出相关意见。</w:t>
            </w:r>
          </w:p>
        </w:tc>
      </w:tr>
    </w:tbl>
    <w:p w14:paraId="7C45725E">
      <w:pPr>
        <w:rPr>
          <w:rFonts w:hint="default" w:cs="宋体"/>
          <w:color w:val="383838"/>
          <w:sz w:val="21"/>
          <w:szCs w:val="21"/>
          <w:lang w:val="en-US" w:eastAsia="zh-CN"/>
        </w:rPr>
        <w:sectPr>
          <w:pgSz w:w="16838" w:h="11906" w:orient="landscape"/>
          <w:pgMar w:top="1803" w:right="1440" w:bottom="1803" w:left="1440" w:header="851" w:footer="992" w:gutter="0"/>
          <w:paperSrc/>
          <w:cols w:space="0" w:num="1"/>
          <w:rtlGutter w:val="0"/>
          <w:docGrid w:type="lines" w:linePitch="319" w:charSpace="0"/>
        </w:sectPr>
      </w:pPr>
      <w:bookmarkStart w:id="2" w:name="_GoBack"/>
      <w:bookmarkEnd w:id="2"/>
    </w:p>
    <w:p w14:paraId="4C913084">
      <w:pPr>
        <w:pStyle w:val="7"/>
        <w:shd w:val="clear" w:color="auto" w:fill="FFFFFF"/>
        <w:adjustRightInd w:val="0"/>
        <w:snapToGrid w:val="0"/>
        <w:spacing w:before="0" w:beforeAutospacing="0" w:after="0" w:afterAutospacing="0" w:line="360" w:lineRule="auto"/>
        <w:textAlignment w:val="baseline"/>
        <w:rPr>
          <w:rFonts w:hint="default" w:cs="宋体"/>
          <w:color w:val="383838"/>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jA5ZjZmYTdkMzhhZmE1N2U5MjVkMDE5MGZhMDgifQ=="/>
  </w:docVars>
  <w:rsids>
    <w:rsidRoot w:val="00FA286F"/>
    <w:rsid w:val="0001128E"/>
    <w:rsid w:val="0001579A"/>
    <w:rsid w:val="00015CF0"/>
    <w:rsid w:val="002C0794"/>
    <w:rsid w:val="0042098C"/>
    <w:rsid w:val="00467CAB"/>
    <w:rsid w:val="005A0287"/>
    <w:rsid w:val="005D7291"/>
    <w:rsid w:val="005E7AF9"/>
    <w:rsid w:val="008F4C0F"/>
    <w:rsid w:val="00AC61EA"/>
    <w:rsid w:val="00B841C2"/>
    <w:rsid w:val="00C31E62"/>
    <w:rsid w:val="00DD1050"/>
    <w:rsid w:val="00DD3F42"/>
    <w:rsid w:val="00E32AA5"/>
    <w:rsid w:val="00E734E7"/>
    <w:rsid w:val="00F15753"/>
    <w:rsid w:val="00F8213E"/>
    <w:rsid w:val="00FA286F"/>
    <w:rsid w:val="04A16E04"/>
    <w:rsid w:val="0BD96161"/>
    <w:rsid w:val="10F63557"/>
    <w:rsid w:val="218F0FBE"/>
    <w:rsid w:val="2ED7364E"/>
    <w:rsid w:val="381677DA"/>
    <w:rsid w:val="4F8946C4"/>
    <w:rsid w:val="61475609"/>
    <w:rsid w:val="6D911C07"/>
    <w:rsid w:val="70BA7808"/>
    <w:rsid w:val="73143FE1"/>
    <w:rsid w:val="7CD4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lang w:val="en-US" w:eastAsia="zh-CN" w:bidi="ar-SA"/>
    </w:rPr>
  </w:style>
  <w:style w:type="paragraph" w:styleId="2">
    <w:name w:val="heading 6"/>
    <w:basedOn w:val="1"/>
    <w:next w:val="1"/>
    <w:semiHidden/>
    <w:unhideWhenUsed/>
    <w:qFormat/>
    <w:uiPriority w:val="9"/>
    <w:pPr>
      <w:spacing w:beforeAutospacing="1" w:afterAutospacing="1"/>
      <w:jc w:val="left"/>
      <w:outlineLvl w:val="5"/>
    </w:pPr>
    <w:rPr>
      <w:rFonts w:hint="eastAsia" w:ascii="宋体" w:hAnsi="宋体"/>
      <w:b/>
      <w:sz w:val="15"/>
      <w:szCs w:val="15"/>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2"/>
    <w:basedOn w:val="1"/>
    <w:next w:val="1"/>
    <w:qFormat/>
    <w:uiPriority w:val="0"/>
    <w:pPr>
      <w:widowControl w:val="0"/>
      <w:spacing w:line="360" w:lineRule="auto"/>
      <w:ind w:firstLine="540" w:firstLineChars="225"/>
      <w:jc w:val="both"/>
    </w:pPr>
    <w:rPr>
      <w:rFonts w:hAnsi="宋体"/>
      <w:color w:val="000000"/>
      <w:kern w:val="2"/>
      <w:sz w:val="24"/>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bCs w:val="0"/>
      <w:sz w:val="24"/>
      <w:szCs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qFormat/>
    <w:uiPriority w:val="99"/>
    <w:rPr>
      <w:rFonts w:ascii="Times New Roman" w:hAnsi="Times New Roman"/>
      <w:kern w:val="0"/>
      <w:sz w:val="18"/>
      <w:szCs w:val="18"/>
    </w:rPr>
  </w:style>
  <w:style w:type="character" w:customStyle="1" w:styleId="12">
    <w:name w:val="页脚 Char"/>
    <w:basedOn w:val="9"/>
    <w:link w:val="5"/>
    <w:qFormat/>
    <w:uiPriority w:val="99"/>
    <w:rPr>
      <w:rFonts w:ascii="Times New Roman" w:hAnsi="Times New Roman"/>
      <w:kern w:val="0"/>
      <w:sz w:val="18"/>
      <w:szCs w:val="18"/>
    </w:rPr>
  </w:style>
  <w:style w:type="character" w:customStyle="1" w:styleId="13">
    <w:name w:val="font11"/>
    <w:basedOn w:val="9"/>
    <w:uiPriority w:val="0"/>
    <w:rPr>
      <w:rFonts w:hint="eastAsia" w:ascii="仿宋" w:hAnsi="仿宋" w:eastAsia="仿宋" w:cs="仿宋"/>
      <w:b/>
      <w:color w:val="000000"/>
      <w:sz w:val="20"/>
      <w:szCs w:val="20"/>
      <w:u w:val="none"/>
    </w:rPr>
  </w:style>
  <w:style w:type="character" w:customStyle="1" w:styleId="14">
    <w:name w:val="font0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2000</Words>
  <Characters>2085</Characters>
  <Lines>9</Lines>
  <Paragraphs>2</Paragraphs>
  <TotalTime>3</TotalTime>
  <ScaleCrop>false</ScaleCrop>
  <LinksUpToDate>false</LinksUpToDate>
  <CharactersWithSpaces>2163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2023-04-12T02:18:00Z</dcterms:created>
  <dc:creator>A</dc:creator>
  <cp:lastModifiedBy>Administrator</cp:lastModifiedBy>
  <cp:lastPrinted>2024-09-06T07:02:00Z</cp:lastPrinted>
  <dcterms:modified xsi:type="dcterms:W3CDTF">2024-09-06T09:39:58Z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1FE4730020B44F1784E1450A3AC30BD2</vt:lpwstr>
  </property>
</Properties>
</file>